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C6" w:rsidRDefault="00084241">
      <w:pPr>
        <w:pStyle w:val="Standard"/>
        <w:tabs>
          <w:tab w:val="left" w:pos="3589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УВЕДОМЛЕНИЕ</w:t>
      </w:r>
    </w:p>
    <w:p w:rsidR="00B25BC6" w:rsidRDefault="00084241">
      <w:pPr>
        <w:pStyle w:val="Standard"/>
        <w:tabs>
          <w:tab w:val="left" w:pos="3589"/>
        </w:tabs>
        <w:spacing w:after="0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проведении общественных обсуждений </w:t>
      </w:r>
      <w:r>
        <w:rPr>
          <w:rFonts w:ascii="Liberation Serif" w:hAnsi="Liberation Serif"/>
          <w:b/>
          <w:color w:val="000000"/>
          <w:sz w:val="28"/>
          <w:szCs w:val="28"/>
        </w:rPr>
        <w:t>объекта государственной экологической экспертизы –</w:t>
      </w:r>
      <w:r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>проектной документации «</w:t>
      </w:r>
      <w:r>
        <w:rPr>
          <w:rFonts w:ascii="Liberation Serif" w:hAnsi="Liberation Serif" w:cs="Arial"/>
          <w:b/>
          <w:bCs/>
          <w:color w:val="000000"/>
          <w:sz w:val="28"/>
          <w:szCs w:val="28"/>
        </w:rPr>
        <w:t xml:space="preserve">Строительство электрической котельной муниципального </w:t>
      </w:r>
      <w:r>
        <w:rPr>
          <w:rFonts w:ascii="Liberation Serif" w:hAnsi="Liberation Serif" w:cs="Arial"/>
          <w:b/>
          <w:bCs/>
          <w:color w:val="000000"/>
          <w:sz w:val="28"/>
          <w:szCs w:val="28"/>
        </w:rPr>
        <w:t>образования г. Полярные Зори с подведомственной территорией, Мурманская область, н.п. Африканда-2 ул. Строительная, земельный участок 51:29:0020103:56</w:t>
      </w:r>
      <w:r>
        <w:rPr>
          <w:rFonts w:ascii="Liberation Serif" w:hAnsi="Liberation Serif"/>
          <w:b/>
          <w:color w:val="000000"/>
          <w:sz w:val="28"/>
          <w:szCs w:val="28"/>
        </w:rPr>
        <w:t>» , включая предварительные материалы оценки воздействия на окружающую среду.</w:t>
      </w:r>
    </w:p>
    <w:p w:rsidR="00B25BC6" w:rsidRDefault="00B25BC6">
      <w:pPr>
        <w:pStyle w:val="Standard"/>
        <w:tabs>
          <w:tab w:val="left" w:pos="3589"/>
        </w:tabs>
        <w:spacing w:after="0"/>
        <w:rPr>
          <w:rFonts w:ascii="Liberation Serif" w:hAnsi="Liberation Serif"/>
          <w:b/>
          <w:sz w:val="28"/>
          <w:szCs w:val="28"/>
        </w:rPr>
      </w:pPr>
    </w:p>
    <w:p w:rsidR="00B25BC6" w:rsidRDefault="00084241">
      <w:pPr>
        <w:pStyle w:val="Standard"/>
        <w:tabs>
          <w:tab w:val="left" w:pos="3589"/>
        </w:tabs>
        <w:spacing w:after="0"/>
        <w:ind w:left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Для информирования обществе</w:t>
      </w:r>
      <w:r>
        <w:rPr>
          <w:rFonts w:ascii="Liberation Serif" w:hAnsi="Liberation Serif"/>
          <w:sz w:val="26"/>
          <w:szCs w:val="26"/>
        </w:rPr>
        <w:t xml:space="preserve">нности в соответствии с Федеральным законом от 23.11.1995 № 174-ФЗ «Об экологической </w:t>
      </w:r>
      <w:r>
        <w:rPr>
          <w:rFonts w:ascii="Liberation Serif" w:hAnsi="Liberation Serif"/>
          <w:sz w:val="26"/>
          <w:szCs w:val="26"/>
        </w:rPr>
        <w:lastRenderedPageBreak/>
        <w:t>экспертизе» и «Требованиями к материалам оценки воздействия на окружающую среду», утвержденными приказом Министерства природных ресурсов и экологии Российской Федерации от</w:t>
      </w:r>
      <w:r>
        <w:rPr>
          <w:rFonts w:ascii="Liberation Serif" w:hAnsi="Liberation Serif"/>
          <w:sz w:val="26"/>
          <w:szCs w:val="26"/>
        </w:rPr>
        <w:t xml:space="preserve"> 01.12.2020 № 999, ООО «АтомТеплоЭлектроСеть» сообщает следующее.</w:t>
      </w:r>
    </w:p>
    <w:p w:rsidR="00B25BC6" w:rsidRDefault="00B25BC6">
      <w:pPr>
        <w:pStyle w:val="Standard"/>
        <w:tabs>
          <w:tab w:val="left" w:pos="3589"/>
        </w:tabs>
        <w:spacing w:after="0"/>
        <w:jc w:val="center"/>
        <w:rPr>
          <w:rFonts w:ascii="Liberation Serif" w:hAnsi="Liberation Serif" w:cs="Arial"/>
          <w:bCs/>
          <w:sz w:val="16"/>
          <w:szCs w:val="16"/>
        </w:rPr>
      </w:pP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/>
          <w:sz w:val="26"/>
          <w:szCs w:val="26"/>
        </w:rPr>
        <w:t xml:space="preserve">Заказчик </w:t>
      </w:r>
      <w:r>
        <w:rPr>
          <w:rFonts w:ascii="Liberation Serif" w:hAnsi="Liberation Serif" w:cs="Arial"/>
          <w:b/>
          <w:color w:val="000000"/>
          <w:sz w:val="26"/>
          <w:szCs w:val="26"/>
        </w:rPr>
        <w:t>работ по объекту государственной экологической экспертизы:</w:t>
      </w:r>
      <w:r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Arial"/>
          <w:sz w:val="26"/>
          <w:szCs w:val="26"/>
        </w:rPr>
        <w:t>ООО «АтомТеплоЭлектроСеть» (ООО «АТЭС»); юридический адрес: 115054, г. Москва, ул. Щипок, д.22, стр.1; ОГРН 1107746591512</w:t>
      </w:r>
      <w:r>
        <w:rPr>
          <w:rFonts w:ascii="Liberation Serif" w:hAnsi="Liberation Serif" w:cs="Arial"/>
          <w:sz w:val="26"/>
          <w:szCs w:val="26"/>
        </w:rPr>
        <w:t xml:space="preserve">; ИНН 7705923730; e-mail: </w:t>
      </w:r>
      <w:hyperlink r:id="rId7" w:history="1">
        <w:r>
          <w:rPr>
            <w:rFonts w:ascii="Liberation Serif" w:hAnsi="Liberation Serif" w:cs="Arial"/>
            <w:sz w:val="26"/>
            <w:szCs w:val="26"/>
          </w:rPr>
          <w:t>info@atomtes.ru</w:t>
        </w:r>
      </w:hyperlink>
      <w:r>
        <w:rPr>
          <w:rFonts w:ascii="Liberation Serif" w:hAnsi="Liberation Serif" w:cs="Arial"/>
          <w:sz w:val="26"/>
          <w:szCs w:val="26"/>
        </w:rPr>
        <w:t>; тел.: +7 (495) 197-84-34 доб. 700.</w:t>
      </w:r>
    </w:p>
    <w:p w:rsidR="00B25BC6" w:rsidRDefault="00B25BC6">
      <w:pPr>
        <w:pStyle w:val="Standard"/>
        <w:spacing w:after="0"/>
        <w:ind w:left="0"/>
        <w:rPr>
          <w:rFonts w:ascii="Liberation Serif" w:eastAsia="Calibri" w:hAnsi="Liberation Serif" w:cs="Arial"/>
          <w:sz w:val="12"/>
          <w:szCs w:val="12"/>
          <w:lang w:eastAsia="en-US"/>
        </w:rPr>
      </w:pPr>
    </w:p>
    <w:p w:rsidR="00B25BC6" w:rsidRDefault="00B25BC6">
      <w:pPr>
        <w:pStyle w:val="Standard"/>
        <w:spacing w:after="0"/>
        <w:ind w:left="0"/>
        <w:rPr>
          <w:rFonts w:ascii="Liberation Serif" w:hAnsi="Liberation Serif" w:cs="Arial"/>
          <w:bCs/>
          <w:sz w:val="4"/>
          <w:szCs w:val="4"/>
        </w:rPr>
      </w:pP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/>
          <w:color w:val="000000"/>
          <w:sz w:val="26"/>
          <w:szCs w:val="26"/>
        </w:rPr>
        <w:t xml:space="preserve">Исполнитель работ по объекту государственной экологической экспертизы: </w:t>
      </w:r>
      <w:r>
        <w:rPr>
          <w:rFonts w:ascii="Liberation Serif" w:hAnsi="Liberation Serif" w:cs="Arial"/>
          <w:color w:val="000000"/>
          <w:sz w:val="26"/>
          <w:szCs w:val="26"/>
        </w:rPr>
        <w:t xml:space="preserve">ОАО «МПНУ Энерготехмонтаж» (ОАО «МПНУ ЭТМ»); юридический адрес: </w:t>
      </w:r>
      <w:r>
        <w:rPr>
          <w:rFonts w:ascii="Liberation Serif" w:hAnsi="Liberation Serif" w:cs="Arial"/>
          <w:color w:val="000000"/>
          <w:sz w:val="26"/>
          <w:szCs w:val="26"/>
        </w:rPr>
        <w:t xml:space="preserve">115054, г. Москва, ул. Валовая, д. 29; ОГРН 1027710004563; ИНН </w:t>
      </w:r>
      <w:r>
        <w:rPr>
          <w:rFonts w:ascii="Liberation Serif" w:hAnsi="Liberation Serif" w:cs="Arial"/>
          <w:color w:val="000000"/>
          <w:sz w:val="26"/>
          <w:szCs w:val="26"/>
        </w:rPr>
        <w:lastRenderedPageBreak/>
        <w:t xml:space="preserve">7705473200; e-mail: </w:t>
      </w:r>
      <w:hyperlink r:id="rId8" w:history="1">
        <w:r>
          <w:rPr>
            <w:rFonts w:ascii="Liberation Serif" w:hAnsi="Liberation Serif"/>
          </w:rPr>
          <w:t>sale@mpnu.ru</w:t>
        </w:r>
      </w:hyperlink>
      <w:r>
        <w:rPr>
          <w:rFonts w:ascii="Liberation Serif" w:hAnsi="Liberation Serif" w:cs="Arial"/>
          <w:color w:val="000000"/>
          <w:sz w:val="26"/>
          <w:szCs w:val="26"/>
        </w:rPr>
        <w:t>; тел.: +7 (495) 959-27-38.</w:t>
      </w:r>
    </w:p>
    <w:p w:rsidR="00B25BC6" w:rsidRDefault="00B25BC6">
      <w:pPr>
        <w:pStyle w:val="Standard"/>
        <w:spacing w:after="0"/>
        <w:ind w:left="0"/>
        <w:rPr>
          <w:rFonts w:ascii="Liberation Serif" w:hAnsi="Liberation Serif" w:cs="Arial"/>
          <w:bCs/>
          <w:sz w:val="12"/>
          <w:szCs w:val="12"/>
        </w:rPr>
      </w:pP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/>
          <w:sz w:val="26"/>
          <w:szCs w:val="26"/>
        </w:rPr>
        <w:t xml:space="preserve">Орган местного самоуправления, ответственный за организацию общественных обсуждений: </w:t>
      </w:r>
      <w:r>
        <w:rPr>
          <w:rFonts w:ascii="Liberation Serif" w:hAnsi="Liberation Serif" w:cs="Arial"/>
          <w:bCs/>
          <w:sz w:val="26"/>
          <w:szCs w:val="26"/>
        </w:rPr>
        <w:t>Администра</w:t>
      </w:r>
      <w:r>
        <w:rPr>
          <w:rFonts w:ascii="Liberation Serif" w:hAnsi="Liberation Serif" w:cs="Arial"/>
          <w:bCs/>
          <w:sz w:val="26"/>
          <w:szCs w:val="26"/>
        </w:rPr>
        <w:t xml:space="preserve">ция города Полярные Зори с подведомственной территорией; юридический/фактический адрес: 184230, г. Полярные Зори, ул. Сивко, д. 1; e-mail: </w:t>
      </w:r>
      <w:hyperlink r:id="rId9" w:history="1">
        <w:r>
          <w:rPr>
            <w:rFonts w:ascii="Liberation Serif" w:hAnsi="Liberation Serif" w:cs="Arial"/>
            <w:bCs/>
            <w:sz w:val="26"/>
            <w:szCs w:val="26"/>
          </w:rPr>
          <w:t>polzori@pz-city.ru</w:t>
        </w:r>
      </w:hyperlink>
      <w:r>
        <w:rPr>
          <w:rFonts w:ascii="Liberation Serif" w:hAnsi="Liberation Serif" w:cs="Arial"/>
          <w:bCs/>
          <w:sz w:val="26"/>
          <w:szCs w:val="26"/>
        </w:rPr>
        <w:t>; тел./факс: 7-41-71.</w:t>
      </w:r>
    </w:p>
    <w:p w:rsidR="00B25BC6" w:rsidRDefault="00B25BC6">
      <w:pPr>
        <w:pStyle w:val="Standard"/>
        <w:spacing w:after="0"/>
        <w:ind w:left="0"/>
        <w:rPr>
          <w:rFonts w:ascii="Liberation Serif" w:hAnsi="Liberation Serif" w:cs="Arial"/>
          <w:bCs/>
          <w:sz w:val="12"/>
          <w:szCs w:val="12"/>
        </w:rPr>
      </w:pP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/>
          <w:sz w:val="26"/>
          <w:szCs w:val="26"/>
        </w:rPr>
        <w:t>Наименование планируемой (намечае</w:t>
      </w:r>
      <w:r>
        <w:rPr>
          <w:rFonts w:ascii="Liberation Serif" w:hAnsi="Liberation Serif" w:cs="Arial"/>
          <w:b/>
          <w:sz w:val="26"/>
          <w:szCs w:val="26"/>
        </w:rPr>
        <w:t xml:space="preserve">мой) хозяйственной и иной деятельности: </w:t>
      </w:r>
      <w:r>
        <w:rPr>
          <w:rFonts w:ascii="Liberation Serif" w:hAnsi="Liberation Serif" w:cs="Arial"/>
          <w:bCs/>
          <w:sz w:val="26"/>
          <w:szCs w:val="26"/>
        </w:rPr>
        <w:t>Строительство электрической котельной в н.п. Африканда-2 муниципального образования г. Полярные Зори с подведомственной территорией.</w:t>
      </w:r>
    </w:p>
    <w:p w:rsidR="00B25BC6" w:rsidRDefault="00B25BC6">
      <w:pPr>
        <w:pStyle w:val="Standard"/>
        <w:spacing w:after="0"/>
        <w:ind w:left="0"/>
        <w:rPr>
          <w:rFonts w:ascii="Liberation Serif" w:hAnsi="Liberation Serif" w:cs="Arial"/>
          <w:bCs/>
          <w:sz w:val="12"/>
          <w:szCs w:val="12"/>
        </w:rPr>
      </w:pPr>
    </w:p>
    <w:p w:rsidR="00B25BC6" w:rsidRDefault="00084241">
      <w:pPr>
        <w:pStyle w:val="Standard"/>
        <w:spacing w:after="0"/>
        <w:ind w:left="0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Цель планируемой (намечаемой) хозяйственной и иной деятельности:</w:t>
      </w: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Cs/>
          <w:sz w:val="26"/>
          <w:szCs w:val="26"/>
        </w:rPr>
        <w:t>Строительство и э</w:t>
      </w:r>
      <w:r>
        <w:rPr>
          <w:rFonts w:ascii="Liberation Serif" w:hAnsi="Liberation Serif" w:cs="Arial"/>
          <w:bCs/>
          <w:sz w:val="26"/>
          <w:szCs w:val="26"/>
        </w:rPr>
        <w:t xml:space="preserve">ксплуатация электрической котельной в н.п. Африканда-2 для выработки </w:t>
      </w:r>
      <w:r>
        <w:rPr>
          <w:rFonts w:ascii="Liberation Serif" w:hAnsi="Liberation Serif" w:cs="Arial"/>
          <w:bCs/>
          <w:sz w:val="26"/>
          <w:szCs w:val="26"/>
        </w:rPr>
        <w:lastRenderedPageBreak/>
        <w:t>теплоносителя и обеспечения тепловой энергией  жилой застройки, объектов бытового  обслуживания н.п. Африканда-2.</w:t>
      </w:r>
    </w:p>
    <w:p w:rsidR="00B25BC6" w:rsidRDefault="00B25BC6">
      <w:pPr>
        <w:pStyle w:val="Standard"/>
        <w:spacing w:after="0"/>
        <w:ind w:left="0"/>
        <w:rPr>
          <w:rFonts w:ascii="Liberation Serif" w:hAnsi="Liberation Serif" w:cs="Arial"/>
          <w:bCs/>
          <w:sz w:val="12"/>
          <w:szCs w:val="12"/>
        </w:rPr>
      </w:pP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/>
          <w:sz w:val="26"/>
          <w:szCs w:val="26"/>
        </w:rPr>
        <w:t xml:space="preserve">Место реализации планируемой (намечаемой) хозяйственной и иной </w:t>
      </w:r>
      <w:r>
        <w:rPr>
          <w:rFonts w:ascii="Liberation Serif" w:hAnsi="Liberation Serif" w:cs="Arial"/>
          <w:b/>
          <w:sz w:val="26"/>
          <w:szCs w:val="26"/>
        </w:rPr>
        <w:t xml:space="preserve">деятельности: </w:t>
      </w:r>
      <w:r>
        <w:rPr>
          <w:rFonts w:ascii="Liberation Serif" w:hAnsi="Liberation Serif" w:cs="Arial"/>
          <w:bCs/>
          <w:sz w:val="26"/>
          <w:szCs w:val="26"/>
        </w:rPr>
        <w:t>Мурманская область, н.п. Африканда-2, ул. Строительная, земельный участок 51:29:0020103:56.</w:t>
      </w:r>
    </w:p>
    <w:p w:rsidR="00B25BC6" w:rsidRDefault="00B25BC6">
      <w:pPr>
        <w:pStyle w:val="Standard"/>
        <w:spacing w:after="0"/>
        <w:ind w:left="0"/>
        <w:rPr>
          <w:rFonts w:ascii="Liberation Serif" w:hAnsi="Liberation Serif" w:cs="Arial"/>
          <w:bCs/>
          <w:sz w:val="12"/>
          <w:szCs w:val="12"/>
        </w:rPr>
      </w:pP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/>
          <w:sz w:val="26"/>
          <w:szCs w:val="26"/>
        </w:rPr>
        <w:t xml:space="preserve">Сроки проведения оценки воздействия на окружающую среду: 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>с я</w:t>
      </w:r>
      <w:r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>нваря 2024 по февраль 2024.</w:t>
      </w:r>
    </w:p>
    <w:p w:rsidR="00B25BC6" w:rsidRDefault="00B25BC6">
      <w:pPr>
        <w:pStyle w:val="Standard"/>
        <w:spacing w:after="0"/>
        <w:ind w:left="0"/>
        <w:rPr>
          <w:rFonts w:ascii="Liberation Serif" w:hAnsi="Liberation Serif" w:cs="Arial"/>
          <w:sz w:val="12"/>
          <w:szCs w:val="12"/>
        </w:rPr>
      </w:pP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/>
          <w:sz w:val="26"/>
          <w:szCs w:val="26"/>
        </w:rPr>
        <w:t xml:space="preserve">Место и сроки доступности объекта общественного обсуждения: </w:t>
      </w:r>
      <w:r>
        <w:rPr>
          <w:rFonts w:ascii="Liberation Serif" w:hAnsi="Liberation Serif" w:cs="Arial"/>
          <w:sz w:val="26"/>
          <w:szCs w:val="26"/>
        </w:rPr>
        <w:t>о</w:t>
      </w:r>
      <w:r>
        <w:rPr>
          <w:rFonts w:ascii="Liberation Serif" w:hAnsi="Liberation Serif" w:cs="Arial"/>
          <w:bCs/>
          <w:sz w:val="26"/>
          <w:szCs w:val="26"/>
        </w:rPr>
        <w:t xml:space="preserve">знакомиться с материалами объекта государственной экологической экспертизы - проектной документацией «Строительство электрической котельной в н.п. Африканда муниципального образования г. Полярные Зори с подведомственной </w:t>
      </w:r>
      <w:r>
        <w:rPr>
          <w:rFonts w:ascii="Liberation Serif" w:hAnsi="Liberation Serif" w:cs="Arial"/>
          <w:bCs/>
          <w:sz w:val="26"/>
          <w:szCs w:val="26"/>
        </w:rPr>
        <w:lastRenderedPageBreak/>
        <w:t>территорией», включая предварительн</w:t>
      </w:r>
      <w:r>
        <w:rPr>
          <w:rFonts w:ascii="Liberation Serif" w:hAnsi="Liberation Serif" w:cs="Arial"/>
          <w:bCs/>
          <w:sz w:val="26"/>
          <w:szCs w:val="26"/>
        </w:rPr>
        <w:t>ые материалы ОВОС, отраженные в Разделе 8 «Перечень мероприятий по охране окружающей среды» шифр 20-2-300-01/20172/2-ООС можно:</w:t>
      </w: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Cs/>
          <w:sz w:val="26"/>
          <w:szCs w:val="26"/>
        </w:rPr>
        <w:t xml:space="preserve">- на официальном сайте Администрации города Полярные Зори </w:t>
      </w:r>
      <w:hyperlink r:id="rId10" w:history="1">
        <w:r>
          <w:rPr>
            <w:rFonts w:ascii="Liberation Serif" w:hAnsi="Liberation Serif" w:cs="Arial"/>
            <w:bCs/>
            <w:sz w:val="26"/>
            <w:szCs w:val="26"/>
          </w:rPr>
          <w:t>polzori@pz-city.ru</w:t>
        </w:r>
      </w:hyperlink>
      <w:r>
        <w:rPr>
          <w:rFonts w:ascii="Liberation Serif" w:hAnsi="Liberation Serif" w:cs="Arial"/>
          <w:bCs/>
          <w:sz w:val="26"/>
          <w:szCs w:val="26"/>
        </w:rPr>
        <w:t>;</w:t>
      </w: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Cs/>
          <w:sz w:val="26"/>
          <w:szCs w:val="26"/>
        </w:rPr>
        <w:t>- на оф</w:t>
      </w:r>
      <w:r>
        <w:rPr>
          <w:rFonts w:ascii="Liberation Serif" w:hAnsi="Liberation Serif" w:cs="Arial"/>
          <w:bCs/>
          <w:sz w:val="26"/>
          <w:szCs w:val="26"/>
        </w:rPr>
        <w:t xml:space="preserve">ициальном сайте ООО «АТЭС» </w:t>
      </w:r>
      <w:hyperlink r:id="rId11" w:history="1">
        <w:r>
          <w:rPr>
            <w:rFonts w:ascii="Liberation Serif" w:hAnsi="Liberation Serif" w:cs="Arial"/>
            <w:bCs/>
            <w:sz w:val="26"/>
            <w:szCs w:val="26"/>
          </w:rPr>
          <w:t>https://www.atomtes.ru/filialy/polyarnye-zori/</w:t>
        </w:r>
      </w:hyperlink>
      <w:r>
        <w:rPr>
          <w:rFonts w:ascii="Liberation Serif" w:hAnsi="Liberation Serif" w:cs="Arial"/>
          <w:bCs/>
          <w:sz w:val="26"/>
          <w:szCs w:val="26"/>
        </w:rPr>
        <w:t xml:space="preserve">, </w:t>
      </w: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>а также по адресу: г. Полярные Зори, ул. Строителей, д. 8., каб.303. В рабочие дни: с понедельника по пятницу — с 08:</w:t>
      </w: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>30 до 16:30,  (перерыв с 12:30 до 13:30).</w:t>
      </w: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>Сроки доступности для общественности объекта общественного обсуждения: с 09.01.2024 по 19.01.2024 включительно.</w:t>
      </w: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Cs/>
          <w:sz w:val="26"/>
          <w:szCs w:val="26"/>
        </w:rPr>
        <w:t>Телефоны для справок : ООО «АТЭС» +7 (81532) 7-44-94;</w:t>
      </w: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Cs/>
          <w:sz w:val="26"/>
          <w:szCs w:val="26"/>
        </w:rPr>
        <w:t>Администрация города Полярные Зори с подведомств</w:t>
      </w:r>
      <w:r>
        <w:rPr>
          <w:rFonts w:ascii="Liberation Serif" w:hAnsi="Liberation Serif" w:cs="Arial"/>
          <w:bCs/>
          <w:sz w:val="26"/>
          <w:szCs w:val="26"/>
        </w:rPr>
        <w:t xml:space="preserve">енной территорией </w:t>
      </w: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>+7 (81532) 7-41-71.</w:t>
      </w:r>
    </w:p>
    <w:p w:rsidR="00B25BC6" w:rsidRDefault="00B25BC6">
      <w:pPr>
        <w:pStyle w:val="Standard"/>
        <w:spacing w:after="0"/>
        <w:ind w:left="0"/>
        <w:rPr>
          <w:rFonts w:ascii="Liberation Serif" w:hAnsi="Liberation Serif" w:cs="Arial"/>
          <w:bCs/>
          <w:sz w:val="12"/>
          <w:szCs w:val="12"/>
        </w:rPr>
      </w:pP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/>
          <w:color w:val="000000"/>
          <w:sz w:val="26"/>
          <w:szCs w:val="26"/>
        </w:rPr>
        <w:lastRenderedPageBreak/>
        <w:t xml:space="preserve">Предполагаемая форма проведения общественных обсуждений: </w:t>
      </w:r>
      <w:r>
        <w:rPr>
          <w:rFonts w:ascii="Liberation Serif" w:hAnsi="Liberation Serif" w:cs="Arial"/>
          <w:bCs/>
          <w:color w:val="000000"/>
          <w:sz w:val="26"/>
          <w:szCs w:val="26"/>
        </w:rPr>
        <w:t>простое информирование</w:t>
      </w:r>
    </w:p>
    <w:p w:rsidR="00B25BC6" w:rsidRDefault="00B25BC6">
      <w:pPr>
        <w:pStyle w:val="Standard"/>
        <w:spacing w:after="0"/>
        <w:ind w:left="0"/>
        <w:rPr>
          <w:rFonts w:ascii="Liberation Serif" w:hAnsi="Liberation Serif" w:cs="Arial"/>
          <w:bCs/>
          <w:color w:val="FF0000"/>
          <w:sz w:val="26"/>
          <w:szCs w:val="26"/>
        </w:rPr>
      </w:pP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/>
          <w:sz w:val="26"/>
          <w:szCs w:val="26"/>
        </w:rPr>
        <w:t>Форма сбора замечаний и предложений:</w:t>
      </w:r>
      <w:r>
        <w:rPr>
          <w:rFonts w:ascii="Liberation Serif" w:hAnsi="Liberation Serif" w:cs="Arial"/>
          <w:bCs/>
          <w:sz w:val="26"/>
          <w:szCs w:val="26"/>
        </w:rPr>
        <w:t xml:space="preserve"> письменная и электронная (с пометкой «общественные обсуждения»).</w:t>
      </w:r>
    </w:p>
    <w:p w:rsidR="00B25BC6" w:rsidRDefault="00B25BC6">
      <w:pPr>
        <w:pStyle w:val="Standard"/>
        <w:spacing w:after="0"/>
        <w:ind w:left="0"/>
        <w:rPr>
          <w:rFonts w:ascii="Liberation Serif" w:hAnsi="Liberation Serif" w:cs="Arial"/>
          <w:bCs/>
          <w:sz w:val="12"/>
          <w:szCs w:val="12"/>
        </w:rPr>
      </w:pP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/>
          <w:sz w:val="26"/>
          <w:szCs w:val="26"/>
        </w:rPr>
        <w:t xml:space="preserve">Сроки проведения общественных </w:t>
      </w:r>
      <w:r>
        <w:rPr>
          <w:rFonts w:ascii="Liberation Serif" w:hAnsi="Liberation Serif" w:cs="Arial"/>
          <w:b/>
          <w:sz w:val="26"/>
          <w:szCs w:val="26"/>
        </w:rPr>
        <w:t xml:space="preserve">обсуждений проектной документации и материалов ОВОС: </w:t>
      </w:r>
      <w:r>
        <w:rPr>
          <w:rFonts w:ascii="Liberation Serif" w:hAnsi="Liberation Serif" w:cs="Arial"/>
          <w:bCs/>
          <w:sz w:val="26"/>
          <w:szCs w:val="26"/>
        </w:rPr>
        <w:t xml:space="preserve">  </w:t>
      </w:r>
      <w:r>
        <w:rPr>
          <w:rFonts w:ascii="Liberation Serif" w:hAnsi="Liberation Serif" w:cs="Arial"/>
          <w:bCs/>
          <w:color w:val="000000"/>
          <w:sz w:val="26"/>
          <w:szCs w:val="26"/>
        </w:rPr>
        <w:t xml:space="preserve">с 09.01.2024 по 08.02.2024 </w:t>
      </w:r>
      <w:r>
        <w:rPr>
          <w:rFonts w:ascii="Liberation Serif" w:hAnsi="Liberation Serif" w:cs="Arial"/>
          <w:bCs/>
          <w:sz w:val="26"/>
          <w:szCs w:val="26"/>
        </w:rPr>
        <w:t>включительно.</w:t>
      </w:r>
    </w:p>
    <w:p w:rsidR="00B25BC6" w:rsidRDefault="00B25BC6">
      <w:pPr>
        <w:pStyle w:val="Standard"/>
        <w:spacing w:after="0"/>
        <w:ind w:left="0"/>
        <w:rPr>
          <w:rFonts w:ascii="Liberation Serif" w:hAnsi="Liberation Serif" w:cs="Arial"/>
          <w:bCs/>
          <w:sz w:val="12"/>
          <w:szCs w:val="12"/>
          <w:shd w:val="clear" w:color="auto" w:fill="FFFF00"/>
        </w:rPr>
      </w:pPr>
    </w:p>
    <w:p w:rsidR="00B25BC6" w:rsidRDefault="00084241">
      <w:pPr>
        <w:pStyle w:val="Standard"/>
        <w:spacing w:after="0"/>
        <w:ind w:left="0"/>
        <w:rPr>
          <w:rFonts w:ascii="Liberation Serif" w:hAnsi="Liberation Serif" w:cs="Arial"/>
          <w:b/>
          <w:color w:val="000000"/>
          <w:sz w:val="26"/>
          <w:szCs w:val="26"/>
        </w:rPr>
      </w:pPr>
      <w:r>
        <w:rPr>
          <w:rFonts w:ascii="Liberation Serif" w:hAnsi="Liberation Serif" w:cs="Arial"/>
          <w:b/>
          <w:color w:val="000000"/>
          <w:sz w:val="26"/>
          <w:szCs w:val="26"/>
        </w:rPr>
        <w:t>Место представления замечаний и предложений:</w:t>
      </w: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/>
          <w:bCs/>
          <w:color w:val="000000"/>
          <w:sz w:val="26"/>
          <w:szCs w:val="26"/>
        </w:rPr>
        <w:t>-</w:t>
      </w:r>
      <w:r>
        <w:rPr>
          <w:rFonts w:ascii="Liberation Serif" w:hAnsi="Liberation Serif" w:cs="Arial"/>
          <w:bCs/>
          <w:color w:val="000000"/>
          <w:sz w:val="26"/>
          <w:szCs w:val="26"/>
        </w:rPr>
        <w:t>в письменной форме на месте ознакомления с проектной документацией и материалами на проведение ОВОС:</w:t>
      </w: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Cs/>
          <w:color w:val="000000"/>
          <w:sz w:val="26"/>
          <w:szCs w:val="26"/>
        </w:rPr>
        <w:t>- в свободно</w:t>
      </w:r>
      <w:r>
        <w:rPr>
          <w:rFonts w:ascii="Liberation Serif" w:hAnsi="Liberation Serif" w:cs="Arial"/>
          <w:bCs/>
          <w:color w:val="000000"/>
          <w:sz w:val="26"/>
          <w:szCs w:val="26"/>
        </w:rPr>
        <w:t xml:space="preserve">й форме в месте ознакомления (ул. Строителей д.8в, каб.303 по рабочим дням с </w:t>
      </w:r>
      <w:r>
        <w:rPr>
          <w:rFonts w:ascii="Liberation Serif" w:hAnsi="Liberation Serif" w:cs="Arial"/>
          <w:bCs/>
          <w:color w:val="000000"/>
          <w:sz w:val="26"/>
          <w:szCs w:val="26"/>
        </w:rPr>
        <w:lastRenderedPageBreak/>
        <w:t xml:space="preserve">понедельника по пятницу — с 08:30 до 16:30,  (перерыв с 12:30 до 13:30).   </w:t>
      </w:r>
    </w:p>
    <w:p w:rsidR="00B25BC6" w:rsidRDefault="00084241">
      <w:pPr>
        <w:pStyle w:val="Standard"/>
        <w:spacing w:after="0"/>
        <w:ind w:left="0"/>
      </w:pP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 xml:space="preserve">-в  электронной форме по электронной почте </w:t>
      </w:r>
      <w:hyperlink r:id="rId12" w:history="1">
        <w:r>
          <w:rPr>
            <w:rFonts w:ascii="Liberation Serif" w:hAnsi="Liberation Serif" w:cs="Arial"/>
            <w:bCs/>
            <w:sz w:val="26"/>
            <w:szCs w:val="26"/>
            <w:shd w:val="clear" w:color="auto" w:fill="FFFFFF"/>
          </w:rPr>
          <w:t>info_pz@atomtes.r</w:t>
        </w:r>
        <w:r>
          <w:rPr>
            <w:rFonts w:ascii="Liberation Serif" w:hAnsi="Liberation Serif" w:cs="Arial"/>
            <w:bCs/>
            <w:sz w:val="26"/>
            <w:szCs w:val="26"/>
            <w:shd w:val="clear" w:color="auto" w:fill="FFFFFF"/>
          </w:rPr>
          <w:t>u</w:t>
        </w:r>
      </w:hyperlink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 xml:space="preserve">  (с пометкой «общественные обсуждения»)</w:t>
      </w:r>
    </w:p>
    <w:p w:rsidR="00B25BC6" w:rsidRDefault="00B25BC6">
      <w:pPr>
        <w:pStyle w:val="Standard"/>
        <w:spacing w:after="0"/>
        <w:ind w:left="0"/>
        <w:rPr>
          <w:rFonts w:ascii="Liberation Serif" w:hAnsi="Liberation Serif"/>
        </w:rPr>
      </w:pPr>
    </w:p>
    <w:p w:rsidR="00B25BC6" w:rsidRDefault="00084241">
      <w:pPr>
        <w:pStyle w:val="Standard"/>
        <w:spacing w:after="0"/>
        <w:ind w:left="0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Контактные данные ответственных лиц:</w:t>
      </w:r>
    </w:p>
    <w:p w:rsidR="00B25BC6" w:rsidRDefault="00084241">
      <w:pPr>
        <w:pStyle w:val="Standard"/>
        <w:ind w:left="0"/>
        <w:rPr>
          <w:rFonts w:ascii="Liberation Serif" w:hAnsi="Liberation Serif" w:cs="Arial"/>
          <w:bCs/>
          <w:i/>
          <w:sz w:val="26"/>
          <w:szCs w:val="26"/>
        </w:rPr>
      </w:pPr>
      <w:r>
        <w:rPr>
          <w:rFonts w:ascii="Liberation Serif" w:hAnsi="Liberation Serif" w:cs="Arial"/>
          <w:bCs/>
          <w:i/>
          <w:sz w:val="26"/>
          <w:szCs w:val="26"/>
        </w:rPr>
        <w:t>Заказчик: ООО «АТЭС»: главный инженер филиала «АТЭС- Полярные Зори» Очеретная Ирина Валентиновна, тел.: +7 (81532) 74494, доб 118.</w:t>
      </w:r>
    </w:p>
    <w:p w:rsidR="00B25BC6" w:rsidRDefault="00B25BC6">
      <w:pPr>
        <w:pStyle w:val="Standard"/>
        <w:spacing w:after="0" w:line="360" w:lineRule="exact"/>
        <w:ind w:left="0"/>
        <w:rPr>
          <w:rFonts w:ascii="Liberation Serif" w:hAnsi="Liberation Serif"/>
        </w:rPr>
      </w:pPr>
    </w:p>
    <w:p w:rsidR="00B25BC6" w:rsidRDefault="00084241">
      <w:pPr>
        <w:pStyle w:val="Standard"/>
        <w:spacing w:after="0" w:line="360" w:lineRule="exact"/>
        <w:ind w:left="0"/>
        <w:rPr>
          <w:rFonts w:ascii="Liberation Serif" w:hAnsi="Liberation Serif" w:cs="Arial"/>
          <w:bCs/>
          <w:i/>
          <w:sz w:val="26"/>
          <w:szCs w:val="26"/>
        </w:rPr>
      </w:pPr>
      <w:r>
        <w:rPr>
          <w:rFonts w:ascii="Liberation Serif" w:hAnsi="Liberation Serif" w:cs="Arial"/>
          <w:bCs/>
          <w:i/>
          <w:sz w:val="26"/>
          <w:szCs w:val="26"/>
        </w:rPr>
        <w:t xml:space="preserve">Администрация города Полярные Зори с </w:t>
      </w:r>
      <w:r>
        <w:rPr>
          <w:rFonts w:ascii="Liberation Serif" w:hAnsi="Liberation Serif" w:cs="Arial"/>
          <w:bCs/>
          <w:i/>
          <w:sz w:val="26"/>
          <w:szCs w:val="26"/>
        </w:rPr>
        <w:t>подведомственной территорией: Попова Елена Николаевна,  управляющий делами администрации города Полярные Зори, тел. (81532)7-40-09.</w:t>
      </w:r>
    </w:p>
    <w:p w:rsidR="00B25BC6" w:rsidRDefault="00B25BC6">
      <w:pPr>
        <w:pStyle w:val="Standard"/>
        <w:ind w:left="0"/>
        <w:jc w:val="left"/>
        <w:rPr>
          <w:rFonts w:cs="Arial"/>
          <w:bCs/>
          <w:sz w:val="26"/>
          <w:szCs w:val="26"/>
        </w:rPr>
      </w:pPr>
    </w:p>
    <w:p w:rsidR="00B25BC6" w:rsidRDefault="00B25BC6">
      <w:pPr>
        <w:pStyle w:val="Standard"/>
        <w:ind w:left="0"/>
        <w:jc w:val="left"/>
      </w:pPr>
    </w:p>
    <w:sectPr w:rsidR="00B25BC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4241">
      <w:r>
        <w:separator/>
      </w:r>
    </w:p>
  </w:endnote>
  <w:endnote w:type="continuationSeparator" w:id="0">
    <w:p w:rsidR="00000000" w:rsidRDefault="0008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0"/>
    <w:family w:val="roman"/>
    <w:pitch w:val="default"/>
  </w:font>
  <w:font w:name="Noto Sans Devanagari"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4241">
      <w:r>
        <w:rPr>
          <w:color w:val="000000"/>
        </w:rPr>
        <w:separator/>
      </w:r>
    </w:p>
  </w:footnote>
  <w:footnote w:type="continuationSeparator" w:id="0">
    <w:p w:rsidR="00000000" w:rsidRDefault="0008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FB4"/>
    <w:multiLevelType w:val="multilevel"/>
    <w:tmpl w:val="DC16EEE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0362C10"/>
    <w:multiLevelType w:val="multilevel"/>
    <w:tmpl w:val="2E9460F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A235D41"/>
    <w:multiLevelType w:val="multilevel"/>
    <w:tmpl w:val="B54A48E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4C671EF"/>
    <w:multiLevelType w:val="multilevel"/>
    <w:tmpl w:val="5B6EE0AA"/>
    <w:styleLink w:val="WWNum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2C86950"/>
    <w:multiLevelType w:val="multilevel"/>
    <w:tmpl w:val="EC8C3A18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FDF12C9"/>
    <w:multiLevelType w:val="multilevel"/>
    <w:tmpl w:val="DB749150"/>
    <w:styleLink w:val="WWNum1"/>
    <w:lvl w:ilvl="0">
      <w:numFmt w:val="bullet"/>
      <w:pStyle w:val="1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5D247E8"/>
    <w:multiLevelType w:val="multilevel"/>
    <w:tmpl w:val="8BBC161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627079F"/>
    <w:multiLevelType w:val="multilevel"/>
    <w:tmpl w:val="128E56D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97D1071"/>
    <w:multiLevelType w:val="multilevel"/>
    <w:tmpl w:val="E024872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6F360C6"/>
    <w:multiLevelType w:val="multilevel"/>
    <w:tmpl w:val="8E4C851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0D47C79"/>
    <w:multiLevelType w:val="multilevel"/>
    <w:tmpl w:val="05E438CE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72F91917"/>
    <w:multiLevelType w:val="multilevel"/>
    <w:tmpl w:val="746A90CA"/>
    <w:styleLink w:val="WWNum10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25BC6"/>
    <w:rsid w:val="00084241"/>
    <w:rsid w:val="00B2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C6C08-07FD-4009-945B-BB389EB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ascii="PT Astra Serif" w:eastAsia="PT Astra Serif" w:hAnsi="PT Astra Serif" w:cs="Noto Sans Devanagari"/>
    </w:rPr>
  </w:style>
  <w:style w:type="paragraph" w:styleId="a4">
    <w:name w:val="caption"/>
    <w:basedOn w:val="Standard"/>
    <w:pPr>
      <w:suppressLineNumbers/>
      <w:spacing w:before="120" w:after="0"/>
    </w:pPr>
    <w:rPr>
      <w:rFonts w:ascii="PT Astra Serif" w:eastAsia="PT Astra Serif" w:hAnsi="PT Astra Serif" w:cs="Noto Sans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PT Astra Serif" w:eastAsia="PT Astra Serif" w:hAnsi="PT Astra Serif" w:cs="Noto Sans Devanagari"/>
    </w:rPr>
  </w:style>
  <w:style w:type="paragraph" w:customStyle="1" w:styleId="1">
    <w:name w:val="Маркированный список 1"/>
    <w:basedOn w:val="Standard"/>
    <w:pPr>
      <w:numPr>
        <w:numId w:val="1"/>
      </w:numPr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annotation text"/>
    <w:basedOn w:val="Standard"/>
    <w:rPr>
      <w:sz w:val="20"/>
    </w:rPr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color w:val="B4985A"/>
      <w:u w:val="single"/>
    </w:rPr>
  </w:style>
  <w:style w:type="character" w:styleId="a9">
    <w:name w:val="annotation reference"/>
    <w:basedOn w:val="a0"/>
    <w:rPr>
      <w:sz w:val="16"/>
      <w:szCs w:val="16"/>
    </w:rPr>
  </w:style>
  <w:style w:type="character" w:customStyle="1" w:styleId="aa">
    <w:name w:val="Текст примечания Знак"/>
    <w:basedOn w:val="a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c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eastAsia="Times New Roman" w:cs="Aria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pn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tomtes.ru" TargetMode="External"/><Relationship Id="rId12" Type="http://schemas.openxmlformats.org/officeDocument/2006/relationships/hyperlink" Target="mailto:info_pz@atomt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omtes.ru/filialy/polyarnye-zor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lzori@pz-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zori@pz-city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Vityazeva_IN</cp:lastModifiedBy>
  <cp:revision>2</cp:revision>
  <cp:lastPrinted>2022-03-04T04:15:00Z</cp:lastPrinted>
  <dcterms:created xsi:type="dcterms:W3CDTF">2023-12-19T12:43:00Z</dcterms:created>
  <dcterms:modified xsi:type="dcterms:W3CDTF">2023-12-19T12:43:00Z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</Properties>
</file>